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851EF">
      <w:pPr>
        <w:spacing w:line="360" w:lineRule="auto"/>
        <w:ind w:firstLine="480"/>
        <w:jc w:val="center"/>
        <w:rPr>
          <w:rFonts w:asciiTheme="minorEastAsia" w:hAnsiTheme="minorEastAsia"/>
          <w:sz w:val="36"/>
          <w:szCs w:val="36"/>
        </w:rPr>
      </w:pPr>
      <w:bookmarkStart w:id="10" w:name="_GoBack"/>
      <w:r>
        <w:rPr>
          <w:rFonts w:hint="eastAsia" w:asciiTheme="minorEastAsia" w:hAnsiTheme="minorEastAsia"/>
          <w:sz w:val="36"/>
          <w:szCs w:val="36"/>
        </w:rPr>
        <w:t>动漫与传媒学院</w:t>
      </w:r>
    </w:p>
    <w:p w14:paraId="635219D6">
      <w:pPr>
        <w:spacing w:line="360" w:lineRule="auto"/>
        <w:ind w:firstLine="480"/>
        <w:jc w:val="center"/>
        <w:rPr>
          <w:rFonts w:asciiTheme="minorEastAsia" w:hAnsiTheme="minorEastAsia"/>
          <w:sz w:val="36"/>
          <w:szCs w:val="36"/>
        </w:rPr>
      </w:pPr>
      <w:bookmarkStart w:id="0" w:name="OLE_LINK6"/>
      <w:bookmarkStart w:id="1" w:name="OLE_LINK7"/>
      <w:r>
        <w:rPr>
          <w:rFonts w:asciiTheme="minorEastAsia" w:hAnsiTheme="minorEastAsia"/>
          <w:sz w:val="36"/>
          <w:szCs w:val="36"/>
        </w:rPr>
        <w:t>研究生奖助学金</w:t>
      </w:r>
      <w:bookmarkEnd w:id="0"/>
      <w:bookmarkEnd w:id="1"/>
      <w:r>
        <w:rPr>
          <w:rFonts w:hint="eastAsia" w:asciiTheme="minorEastAsia" w:hAnsiTheme="minorEastAsia"/>
          <w:sz w:val="36"/>
          <w:szCs w:val="36"/>
        </w:rPr>
        <w:t>评定细则</w:t>
      </w:r>
    </w:p>
    <w:bookmarkEnd w:id="10"/>
    <w:p w14:paraId="1701F952">
      <w:pPr>
        <w:spacing w:line="360" w:lineRule="auto"/>
        <w:ind w:firstLine="480"/>
        <w:jc w:val="center"/>
        <w:rPr>
          <w:rFonts w:asciiTheme="minorEastAsia" w:hAnsiTheme="minorEastAsia"/>
          <w:sz w:val="28"/>
          <w:szCs w:val="28"/>
        </w:rPr>
      </w:pPr>
    </w:p>
    <w:p w14:paraId="7EFF92B1">
      <w:pPr>
        <w:pStyle w:val="7"/>
        <w:spacing w:line="360" w:lineRule="auto"/>
        <w:ind w:firstLine="480"/>
        <w:rPr>
          <w:rFonts w:ascii="仿宋" w:hAnsi="仿宋" w:eastAsia="仿宋"/>
        </w:rPr>
      </w:pPr>
      <w:r>
        <w:rPr>
          <w:rFonts w:hint="eastAsia" w:ascii="仿宋" w:hAnsi="仿宋" w:eastAsia="仿宋"/>
        </w:rPr>
        <w:t>为激励研究生潜心学习、创新研究，提高研究生培养质量，根据《</w:t>
      </w:r>
      <w:r>
        <w:rPr>
          <w:rFonts w:ascii="仿宋" w:hAnsi="仿宋" w:eastAsia="仿宋"/>
        </w:rPr>
        <w:t>青岛农业大学研究生奖助学金管理办法（修订）</w:t>
      </w:r>
      <w:r>
        <w:rPr>
          <w:rFonts w:hint="eastAsia" w:ascii="仿宋" w:hAnsi="仿宋" w:eastAsia="仿宋"/>
        </w:rPr>
        <w:t>》（青农大校字〔2021〕162号），结合我院实际，制定本细则。</w:t>
      </w:r>
    </w:p>
    <w:p w14:paraId="56DCA045">
      <w:pPr>
        <w:spacing w:before="156" w:beforeLines="50" w:after="156" w:afterLines="50"/>
        <w:rPr>
          <w:rFonts w:ascii="仿宋" w:hAnsi="仿宋" w:eastAsia="仿宋"/>
          <w:b/>
        </w:rPr>
      </w:pPr>
      <w:r>
        <w:rPr>
          <w:rFonts w:hint="eastAsia" w:ascii="仿宋" w:hAnsi="仿宋" w:eastAsia="仿宋"/>
          <w:b/>
        </w:rPr>
        <w:t>一、评选范围</w:t>
      </w:r>
    </w:p>
    <w:p w14:paraId="7CCB44E0">
      <w:pPr>
        <w:pStyle w:val="7"/>
        <w:spacing w:line="360" w:lineRule="auto"/>
        <w:ind w:firstLine="480"/>
        <w:rPr>
          <w:rFonts w:ascii="仿宋" w:hAnsi="仿宋" w:eastAsia="仿宋"/>
        </w:rPr>
      </w:pPr>
      <w:r>
        <w:rPr>
          <w:rFonts w:hint="eastAsia" w:ascii="仿宋" w:hAnsi="仿宋" w:eastAsia="仿宋"/>
        </w:rPr>
        <w:t>本细则适用于在规定学制（以报名考试时招生简章公布的学制为准）内的全日制在校非定向就业硕士研究生（不包括延期、休学研究生和留学生）的奖助学金（不包括学校设立的企业奖学金）管理。</w:t>
      </w:r>
    </w:p>
    <w:p w14:paraId="3DB1316B">
      <w:pPr>
        <w:spacing w:before="156" w:beforeLines="50" w:after="156" w:afterLines="50"/>
        <w:rPr>
          <w:rFonts w:ascii="仿宋" w:hAnsi="仿宋" w:eastAsia="仿宋"/>
          <w:b/>
        </w:rPr>
      </w:pPr>
      <w:r>
        <w:rPr>
          <w:rFonts w:hint="eastAsia" w:ascii="仿宋" w:hAnsi="仿宋" w:eastAsia="仿宋"/>
          <w:b/>
        </w:rPr>
        <w:t>二、奖励设置</w:t>
      </w:r>
    </w:p>
    <w:p w14:paraId="5A674F8D">
      <w:pPr>
        <w:pStyle w:val="7"/>
        <w:spacing w:line="360" w:lineRule="auto"/>
        <w:ind w:firstLine="480"/>
        <w:rPr>
          <w:rFonts w:ascii="仿宋" w:hAnsi="仿宋" w:eastAsia="仿宋"/>
        </w:rPr>
      </w:pPr>
      <w:r>
        <w:rPr>
          <w:rFonts w:hint="eastAsia" w:ascii="仿宋" w:hAnsi="仿宋" w:eastAsia="仿宋"/>
        </w:rPr>
        <w:t>研究生奖助学金包括研究生助学金（含研究生国家助学金）、研究生奖学金（包括研究生国家奖学金、研究生学业奖学金、研究生优秀干部奖、优秀毕业研究生奖）、研究生</w:t>
      </w:r>
      <w:r>
        <w:rPr>
          <w:rFonts w:ascii="仿宋" w:hAnsi="仿宋" w:eastAsia="仿宋"/>
        </w:rPr>
        <w:t>“</w:t>
      </w:r>
      <w:r>
        <w:rPr>
          <w:rFonts w:hint="eastAsia" w:ascii="仿宋" w:hAnsi="仿宋" w:eastAsia="仿宋"/>
        </w:rPr>
        <w:t>三助一辅</w:t>
      </w:r>
      <w:r>
        <w:rPr>
          <w:rFonts w:ascii="仿宋" w:hAnsi="仿宋" w:eastAsia="仿宋"/>
        </w:rPr>
        <w:t>”</w:t>
      </w:r>
      <w:r>
        <w:rPr>
          <w:rFonts w:hint="eastAsia" w:ascii="仿宋" w:hAnsi="仿宋" w:eastAsia="仿宋"/>
        </w:rPr>
        <w:t>岗位津贴（助研、助教、助管、兼职辅导员）。</w:t>
      </w:r>
    </w:p>
    <w:p w14:paraId="7BCD88EA">
      <w:pPr>
        <w:pStyle w:val="7"/>
        <w:spacing w:line="360" w:lineRule="auto"/>
        <w:ind w:firstLine="480"/>
        <w:rPr>
          <w:rFonts w:ascii="仿宋" w:hAnsi="仿宋" w:eastAsia="仿宋"/>
        </w:rPr>
      </w:pPr>
      <w:r>
        <w:rPr>
          <w:rFonts w:hint="eastAsia" w:ascii="仿宋" w:hAnsi="仿宋" w:eastAsia="仿宋"/>
        </w:rPr>
        <w:t>各奖助学金名额按照学校文件设置。</w:t>
      </w:r>
    </w:p>
    <w:p w14:paraId="18666FBE">
      <w:pPr>
        <w:spacing w:before="156" w:beforeLines="50" w:after="156" w:afterLines="50"/>
        <w:rPr>
          <w:rFonts w:ascii="仿宋" w:hAnsi="仿宋" w:eastAsia="仿宋"/>
          <w:b/>
        </w:rPr>
      </w:pPr>
      <w:r>
        <w:rPr>
          <w:rFonts w:hint="eastAsia" w:ascii="仿宋" w:hAnsi="仿宋" w:eastAsia="仿宋"/>
          <w:b/>
        </w:rPr>
        <w:t>三、申请条件</w:t>
      </w:r>
    </w:p>
    <w:p w14:paraId="0F09CD15">
      <w:pPr>
        <w:pStyle w:val="7"/>
        <w:widowControl/>
        <w:autoSpaceDE w:val="0"/>
        <w:autoSpaceDN w:val="0"/>
        <w:adjustRightInd w:val="0"/>
        <w:spacing w:line="360" w:lineRule="auto"/>
        <w:ind w:left="480" w:firstLine="0" w:firstLineChars="0"/>
        <w:rPr>
          <w:rFonts w:ascii="仿宋" w:hAnsi="仿宋" w:eastAsia="仿宋"/>
        </w:rPr>
      </w:pPr>
      <w:bookmarkStart w:id="2" w:name="OLE_LINK16"/>
      <w:bookmarkStart w:id="3" w:name="OLE_LINK15"/>
      <w:r>
        <w:rPr>
          <w:rFonts w:hint="eastAsia" w:ascii="仿宋" w:hAnsi="仿宋" w:eastAsia="仿宋"/>
        </w:rPr>
        <w:t>符合学校要求的各奖助学金申请条件。</w:t>
      </w:r>
    </w:p>
    <w:bookmarkEnd w:id="2"/>
    <w:bookmarkEnd w:id="3"/>
    <w:p w14:paraId="79BF5F8D">
      <w:pPr>
        <w:spacing w:before="156" w:beforeLines="50" w:after="156" w:afterLines="50"/>
        <w:rPr>
          <w:rFonts w:ascii="仿宋" w:hAnsi="仿宋" w:eastAsia="仿宋"/>
          <w:b/>
        </w:rPr>
      </w:pPr>
      <w:r>
        <w:rPr>
          <w:rFonts w:hint="eastAsia" w:ascii="仿宋" w:hAnsi="仿宋" w:eastAsia="仿宋"/>
          <w:b/>
        </w:rPr>
        <w:t>四、学习科研评价</w:t>
      </w:r>
    </w:p>
    <w:p w14:paraId="351F82A3">
      <w:pPr>
        <w:pStyle w:val="7"/>
        <w:spacing w:line="360" w:lineRule="auto"/>
        <w:ind w:firstLine="480" w:firstLineChars="0"/>
        <w:rPr>
          <w:rFonts w:ascii="仿宋" w:hAnsi="仿宋" w:eastAsia="仿宋"/>
        </w:rPr>
      </w:pPr>
      <w:r>
        <w:rPr>
          <w:rFonts w:hint="eastAsia" w:ascii="仿宋" w:hAnsi="仿宋" w:eastAsia="仿宋"/>
        </w:rPr>
        <w:t>一年级研究生评价方法：</w:t>
      </w:r>
    </w:p>
    <w:p w14:paraId="530D9FF6">
      <w:pPr>
        <w:pStyle w:val="7"/>
        <w:spacing w:line="360" w:lineRule="auto"/>
        <w:ind w:firstLine="480" w:firstLineChars="0"/>
        <w:rPr>
          <w:rFonts w:ascii="仿宋" w:hAnsi="仿宋" w:eastAsia="仿宋"/>
        </w:rPr>
      </w:pPr>
      <w:r>
        <w:rPr>
          <w:rFonts w:hint="eastAsia" w:ascii="仿宋" w:hAnsi="仿宋" w:eastAsia="仿宋"/>
        </w:rPr>
        <w:t>1、</w:t>
      </w:r>
      <w:r>
        <w:rPr>
          <w:rFonts w:ascii="仿宋" w:hAnsi="仿宋" w:eastAsia="仿宋"/>
        </w:rPr>
        <w:t>研究生奖助学金</w:t>
      </w:r>
      <w:r>
        <w:rPr>
          <w:rFonts w:hint="eastAsia" w:ascii="仿宋" w:hAnsi="仿宋" w:eastAsia="仿宋"/>
        </w:rPr>
        <w:t>评价，以研究生录取总成绩（初试成绩与复试成绩按复试细则计算所得）按批次进行排序（即第一志愿先排序，然后第一批次调剂排序、第二批次调剂排序依次进行）。</w:t>
      </w:r>
    </w:p>
    <w:p w14:paraId="7805DFD5">
      <w:pPr>
        <w:pStyle w:val="7"/>
        <w:spacing w:line="360" w:lineRule="auto"/>
        <w:ind w:firstLine="480" w:firstLineChars="0"/>
        <w:rPr>
          <w:rFonts w:ascii="仿宋" w:hAnsi="仿宋" w:eastAsia="仿宋"/>
        </w:rPr>
      </w:pPr>
      <w:r>
        <w:rPr>
          <w:rFonts w:hint="eastAsia" w:ascii="仿宋" w:hAnsi="仿宋" w:eastAsia="仿宋"/>
        </w:rPr>
        <w:t>二、三年级研究生评价方法：</w:t>
      </w:r>
    </w:p>
    <w:p w14:paraId="13D22874">
      <w:pPr>
        <w:pStyle w:val="7"/>
        <w:spacing w:line="360" w:lineRule="auto"/>
        <w:ind w:firstLine="480" w:firstLineChars="0"/>
        <w:rPr>
          <w:rFonts w:ascii="仿宋" w:hAnsi="仿宋" w:eastAsia="仿宋"/>
        </w:rPr>
      </w:pPr>
      <w:r>
        <w:rPr>
          <w:rFonts w:hint="eastAsia" w:ascii="仿宋" w:hAnsi="仿宋" w:eastAsia="仿宋"/>
        </w:rPr>
        <w:t>1、</w:t>
      </w:r>
      <w:bookmarkStart w:id="4" w:name="OLE_LINK26"/>
      <w:bookmarkStart w:id="5" w:name="OLE_LINK25"/>
      <w:r>
        <w:rPr>
          <w:rFonts w:hint="eastAsia" w:ascii="仿宋" w:hAnsi="仿宋" w:eastAsia="仿宋"/>
        </w:rPr>
        <w:t>评价成绩</w:t>
      </w:r>
      <w:bookmarkEnd w:id="4"/>
      <w:bookmarkEnd w:id="5"/>
      <w:r>
        <w:rPr>
          <w:rFonts w:hint="eastAsia" w:ascii="仿宋" w:hAnsi="仿宋" w:eastAsia="仿宋"/>
        </w:rPr>
        <w:t>有课程学习成绩和科研成绩两个指标,评价成绩</w:t>
      </w:r>
      <w:bookmarkStart w:id="6" w:name="OLE_LINK19"/>
      <w:bookmarkStart w:id="7" w:name="OLE_LINK18"/>
      <w:r>
        <w:rPr>
          <w:rFonts w:hint="eastAsia" w:ascii="仿宋" w:hAnsi="仿宋" w:eastAsia="仿宋"/>
        </w:rPr>
        <w:t>＝</w:t>
      </w:r>
      <w:bookmarkEnd w:id="6"/>
      <w:bookmarkEnd w:id="7"/>
      <w:r>
        <w:rPr>
          <w:rFonts w:hint="eastAsia" w:ascii="仿宋" w:hAnsi="仿宋" w:eastAsia="仿宋"/>
        </w:rPr>
        <w:t>学习成绩*50%+科研成绩*50%</w:t>
      </w:r>
      <w:r>
        <w:rPr>
          <w:rFonts w:ascii="仿宋" w:hAnsi="仿宋" w:eastAsia="仿宋"/>
        </w:rPr>
        <w:t>；</w:t>
      </w:r>
    </w:p>
    <w:p w14:paraId="4AE94AB9">
      <w:pPr>
        <w:pStyle w:val="7"/>
        <w:spacing w:line="360" w:lineRule="auto"/>
        <w:ind w:firstLine="480" w:firstLineChars="0"/>
        <w:rPr>
          <w:rFonts w:ascii="仿宋" w:hAnsi="仿宋" w:eastAsia="仿宋"/>
        </w:rPr>
      </w:pPr>
      <w:r>
        <w:rPr>
          <w:rFonts w:hint="eastAsia" w:ascii="仿宋" w:hAnsi="仿宋" w:eastAsia="仿宋"/>
        </w:rPr>
        <w:t>2、学习成绩：已修全部课程的平均分数（百分制）；</w:t>
      </w:r>
    </w:p>
    <w:p w14:paraId="686AA39A">
      <w:pPr>
        <w:pStyle w:val="7"/>
        <w:spacing w:line="360" w:lineRule="auto"/>
        <w:ind w:firstLine="480" w:firstLineChars="0"/>
        <w:rPr>
          <w:rFonts w:ascii="仿宋" w:hAnsi="仿宋" w:eastAsia="仿宋"/>
        </w:rPr>
      </w:pPr>
      <w:r>
        <w:rPr>
          <w:rFonts w:hint="eastAsia" w:ascii="仿宋" w:hAnsi="仿宋" w:eastAsia="仿宋"/>
        </w:rPr>
        <w:t>3、科研成绩：本年度内获得的科研成果，科研成果参见“表1 论文成果量化标准”计算总积分，总积分最高者认定科研成绩为100分，其他同学的总积分相比总积分最高者计算科研成绩。</w:t>
      </w:r>
    </w:p>
    <w:p w14:paraId="3B932B92">
      <w:pPr>
        <w:pStyle w:val="7"/>
        <w:spacing w:line="360" w:lineRule="auto"/>
        <w:ind w:firstLine="480" w:firstLineChars="0"/>
        <w:rPr>
          <w:rFonts w:ascii="仿宋" w:hAnsi="仿宋" w:eastAsia="仿宋"/>
        </w:rPr>
      </w:pPr>
      <w:r>
        <w:rPr>
          <w:rFonts w:hint="eastAsia" w:ascii="仿宋" w:hAnsi="仿宋" w:eastAsia="仿宋"/>
        </w:rPr>
        <w:t>例如本年度某同学是我院总积分最高者，总积分为120，另一位同学的总积分为80，则另一位同学的科研成绩为(80/120)*100=66.67分（四舍五入，精确到百分位）。</w:t>
      </w:r>
    </w:p>
    <w:p w14:paraId="118FAE12">
      <w:pPr>
        <w:spacing w:line="360" w:lineRule="auto"/>
        <w:jc w:val="center"/>
        <w:rPr>
          <w:rFonts w:ascii="仿宋" w:hAnsi="仿宋" w:eastAsia="仿宋"/>
        </w:rPr>
      </w:pPr>
      <w:r>
        <w:rPr>
          <w:rFonts w:hint="eastAsia" w:ascii="仿宋" w:hAnsi="仿宋" w:eastAsia="仿宋"/>
        </w:rPr>
        <w:t>表1 论文成果量化标准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536"/>
        <w:gridCol w:w="851"/>
        <w:gridCol w:w="1559"/>
      </w:tblGrid>
      <w:tr w14:paraId="037327B9">
        <w:trPr>
          <w:jc w:val="center"/>
        </w:trPr>
        <w:tc>
          <w:tcPr>
            <w:tcW w:w="1384" w:type="dxa"/>
          </w:tcPr>
          <w:p w14:paraId="3166B7FA">
            <w:pPr>
              <w:spacing w:line="360" w:lineRule="auto"/>
              <w:jc w:val="center"/>
              <w:rPr>
                <w:rFonts w:ascii="仿宋" w:hAnsi="仿宋" w:eastAsia="仿宋"/>
                <w:b/>
                <w:kern w:val="2"/>
                <w:sz w:val="24"/>
                <w:szCs w:val="24"/>
              </w:rPr>
            </w:pPr>
            <w:r>
              <w:rPr>
                <w:rFonts w:hint="eastAsia" w:ascii="仿宋" w:hAnsi="仿宋" w:eastAsia="仿宋"/>
                <w:b/>
                <w:kern w:val="2"/>
                <w:sz w:val="24"/>
                <w:szCs w:val="24"/>
              </w:rPr>
              <w:t>项目内容</w:t>
            </w:r>
          </w:p>
        </w:tc>
        <w:tc>
          <w:tcPr>
            <w:tcW w:w="4536" w:type="dxa"/>
          </w:tcPr>
          <w:p w14:paraId="3AAF0FBA">
            <w:pPr>
              <w:spacing w:line="360" w:lineRule="auto"/>
              <w:jc w:val="center"/>
              <w:rPr>
                <w:rFonts w:ascii="仿宋" w:hAnsi="仿宋" w:eastAsia="仿宋"/>
                <w:b/>
                <w:kern w:val="2"/>
                <w:sz w:val="24"/>
                <w:szCs w:val="24"/>
              </w:rPr>
            </w:pPr>
            <w:r>
              <w:rPr>
                <w:rFonts w:hint="eastAsia" w:ascii="仿宋" w:hAnsi="仿宋" w:eastAsia="仿宋"/>
                <w:b/>
                <w:kern w:val="2"/>
                <w:sz w:val="24"/>
                <w:szCs w:val="24"/>
              </w:rPr>
              <w:t>标准</w:t>
            </w:r>
          </w:p>
        </w:tc>
        <w:tc>
          <w:tcPr>
            <w:tcW w:w="851" w:type="dxa"/>
          </w:tcPr>
          <w:p w14:paraId="63E8E363">
            <w:pPr>
              <w:spacing w:line="360" w:lineRule="auto"/>
              <w:jc w:val="center"/>
              <w:rPr>
                <w:rFonts w:ascii="仿宋" w:hAnsi="仿宋" w:eastAsia="仿宋"/>
                <w:b/>
                <w:kern w:val="2"/>
                <w:sz w:val="24"/>
                <w:szCs w:val="24"/>
              </w:rPr>
            </w:pPr>
            <w:r>
              <w:rPr>
                <w:rFonts w:hint="eastAsia" w:ascii="仿宋" w:hAnsi="仿宋" w:eastAsia="仿宋"/>
                <w:b/>
                <w:kern w:val="2"/>
                <w:sz w:val="24"/>
                <w:szCs w:val="24"/>
              </w:rPr>
              <w:t>备注</w:t>
            </w:r>
          </w:p>
        </w:tc>
        <w:tc>
          <w:tcPr>
            <w:tcW w:w="1559" w:type="dxa"/>
          </w:tcPr>
          <w:p w14:paraId="206F9A5C">
            <w:pPr>
              <w:spacing w:line="360" w:lineRule="auto"/>
              <w:jc w:val="center"/>
              <w:rPr>
                <w:rFonts w:ascii="仿宋" w:hAnsi="仿宋" w:eastAsia="仿宋"/>
                <w:b/>
                <w:kern w:val="2"/>
                <w:sz w:val="24"/>
                <w:szCs w:val="24"/>
              </w:rPr>
            </w:pPr>
            <w:r>
              <w:rPr>
                <w:rFonts w:hint="eastAsia" w:ascii="仿宋" w:hAnsi="仿宋" w:eastAsia="仿宋"/>
                <w:b/>
                <w:kern w:val="2"/>
                <w:sz w:val="24"/>
                <w:szCs w:val="24"/>
              </w:rPr>
              <w:t>积分</w:t>
            </w:r>
          </w:p>
        </w:tc>
      </w:tr>
      <w:tr w14:paraId="31B53CB8">
        <w:trPr>
          <w:jc w:val="center"/>
        </w:trPr>
        <w:tc>
          <w:tcPr>
            <w:tcW w:w="1384" w:type="dxa"/>
            <w:vMerge w:val="restart"/>
            <w:vAlign w:val="center"/>
          </w:tcPr>
          <w:p w14:paraId="6E415CC8">
            <w:pPr>
              <w:spacing w:line="360" w:lineRule="auto"/>
              <w:jc w:val="center"/>
              <w:rPr>
                <w:rFonts w:ascii="仿宋" w:hAnsi="仿宋" w:eastAsia="仿宋"/>
                <w:kern w:val="2"/>
                <w:sz w:val="24"/>
                <w:szCs w:val="24"/>
              </w:rPr>
            </w:pPr>
            <w:r>
              <w:rPr>
                <w:rFonts w:hint="eastAsia" w:ascii="仿宋" w:hAnsi="仿宋" w:eastAsia="仿宋"/>
                <w:kern w:val="2"/>
                <w:sz w:val="24"/>
                <w:szCs w:val="24"/>
              </w:rPr>
              <w:t>学术论文</w:t>
            </w:r>
          </w:p>
        </w:tc>
        <w:tc>
          <w:tcPr>
            <w:tcW w:w="4536" w:type="dxa"/>
          </w:tcPr>
          <w:p w14:paraId="053345A1">
            <w:pPr>
              <w:spacing w:line="360" w:lineRule="auto"/>
              <w:rPr>
                <w:rFonts w:ascii="仿宋" w:hAnsi="仿宋" w:eastAsia="仿宋"/>
                <w:kern w:val="2"/>
                <w:sz w:val="24"/>
                <w:szCs w:val="24"/>
              </w:rPr>
            </w:pPr>
            <w:r>
              <w:rPr>
                <w:rFonts w:hint="eastAsia" w:ascii="仿宋" w:hAnsi="仿宋" w:eastAsia="仿宋"/>
                <w:kern w:val="2"/>
                <w:sz w:val="24"/>
                <w:szCs w:val="24"/>
              </w:rPr>
              <w:t>SCI、SSCI论文</w:t>
            </w:r>
          </w:p>
        </w:tc>
        <w:tc>
          <w:tcPr>
            <w:tcW w:w="851" w:type="dxa"/>
          </w:tcPr>
          <w:p w14:paraId="696BA920">
            <w:pPr>
              <w:spacing w:line="360" w:lineRule="auto"/>
              <w:jc w:val="center"/>
              <w:rPr>
                <w:rFonts w:ascii="仿宋" w:hAnsi="仿宋" w:eastAsia="仿宋"/>
                <w:kern w:val="2"/>
                <w:sz w:val="24"/>
                <w:szCs w:val="24"/>
              </w:rPr>
            </w:pPr>
            <w:r>
              <w:rPr>
                <w:rFonts w:hint="eastAsia" w:ascii="仿宋" w:hAnsi="仿宋" w:eastAsia="仿宋"/>
                <w:kern w:val="2"/>
                <w:sz w:val="24"/>
                <w:szCs w:val="24"/>
              </w:rPr>
              <w:t>A类</w:t>
            </w:r>
          </w:p>
        </w:tc>
        <w:tc>
          <w:tcPr>
            <w:tcW w:w="1559" w:type="dxa"/>
            <w:vAlign w:val="center"/>
          </w:tcPr>
          <w:p w14:paraId="30624A22">
            <w:pPr>
              <w:spacing w:line="360" w:lineRule="auto"/>
              <w:jc w:val="center"/>
              <w:rPr>
                <w:rFonts w:ascii="仿宋" w:hAnsi="仿宋" w:eastAsia="仿宋"/>
                <w:kern w:val="2"/>
                <w:sz w:val="24"/>
                <w:szCs w:val="24"/>
              </w:rPr>
            </w:pPr>
            <w:r>
              <w:rPr>
                <w:rFonts w:hint="eastAsia" w:ascii="仿宋" w:hAnsi="仿宋" w:eastAsia="仿宋"/>
                <w:kern w:val="2"/>
                <w:sz w:val="24"/>
                <w:szCs w:val="24"/>
              </w:rPr>
              <w:t>300</w:t>
            </w:r>
          </w:p>
        </w:tc>
      </w:tr>
      <w:tr w14:paraId="6F3DD07B">
        <w:trPr>
          <w:jc w:val="center"/>
        </w:trPr>
        <w:tc>
          <w:tcPr>
            <w:tcW w:w="1384" w:type="dxa"/>
            <w:vMerge w:val="continue"/>
          </w:tcPr>
          <w:p w14:paraId="12E97B7B">
            <w:pPr>
              <w:spacing w:line="360" w:lineRule="auto"/>
              <w:jc w:val="center"/>
              <w:rPr>
                <w:rFonts w:ascii="仿宋" w:hAnsi="仿宋" w:eastAsia="仿宋"/>
                <w:kern w:val="2"/>
                <w:sz w:val="24"/>
                <w:szCs w:val="24"/>
              </w:rPr>
            </w:pPr>
          </w:p>
        </w:tc>
        <w:tc>
          <w:tcPr>
            <w:tcW w:w="4536" w:type="dxa"/>
          </w:tcPr>
          <w:p w14:paraId="46BA094D">
            <w:pPr>
              <w:spacing w:line="360" w:lineRule="auto"/>
              <w:rPr>
                <w:rFonts w:ascii="仿宋" w:hAnsi="仿宋" w:eastAsia="仿宋"/>
                <w:kern w:val="2"/>
                <w:sz w:val="24"/>
                <w:szCs w:val="24"/>
              </w:rPr>
            </w:pPr>
            <w:r>
              <w:rPr>
                <w:rFonts w:hint="eastAsia" w:ascii="仿宋" w:hAnsi="仿宋" w:eastAsia="仿宋"/>
                <w:kern w:val="2"/>
                <w:sz w:val="24"/>
                <w:szCs w:val="24"/>
              </w:rPr>
              <w:t>Ei期刊论文、CSSCI论文</w:t>
            </w:r>
          </w:p>
        </w:tc>
        <w:tc>
          <w:tcPr>
            <w:tcW w:w="851" w:type="dxa"/>
          </w:tcPr>
          <w:p w14:paraId="488916CA">
            <w:pPr>
              <w:spacing w:line="360" w:lineRule="auto"/>
              <w:jc w:val="center"/>
              <w:rPr>
                <w:rFonts w:ascii="仿宋" w:hAnsi="仿宋" w:eastAsia="仿宋"/>
                <w:kern w:val="2"/>
                <w:sz w:val="24"/>
                <w:szCs w:val="24"/>
              </w:rPr>
            </w:pPr>
            <w:r>
              <w:rPr>
                <w:rFonts w:hint="eastAsia" w:ascii="仿宋" w:hAnsi="仿宋" w:eastAsia="仿宋"/>
                <w:kern w:val="2"/>
                <w:sz w:val="24"/>
                <w:szCs w:val="24"/>
              </w:rPr>
              <w:t>B类</w:t>
            </w:r>
          </w:p>
        </w:tc>
        <w:tc>
          <w:tcPr>
            <w:tcW w:w="1559" w:type="dxa"/>
            <w:vAlign w:val="center"/>
          </w:tcPr>
          <w:p w14:paraId="69FEE908">
            <w:pPr>
              <w:spacing w:line="360" w:lineRule="auto"/>
              <w:jc w:val="center"/>
              <w:rPr>
                <w:rFonts w:ascii="仿宋" w:hAnsi="仿宋" w:eastAsia="仿宋"/>
                <w:kern w:val="2"/>
                <w:sz w:val="24"/>
                <w:szCs w:val="24"/>
              </w:rPr>
            </w:pPr>
            <w:r>
              <w:rPr>
                <w:rFonts w:hint="eastAsia" w:ascii="仿宋" w:hAnsi="仿宋" w:eastAsia="仿宋"/>
                <w:kern w:val="2"/>
                <w:sz w:val="24"/>
                <w:szCs w:val="24"/>
              </w:rPr>
              <w:t>150</w:t>
            </w:r>
          </w:p>
        </w:tc>
      </w:tr>
      <w:tr w14:paraId="48670D5F">
        <w:trPr>
          <w:jc w:val="center"/>
        </w:trPr>
        <w:tc>
          <w:tcPr>
            <w:tcW w:w="1384" w:type="dxa"/>
            <w:vMerge w:val="continue"/>
          </w:tcPr>
          <w:p w14:paraId="419237DA">
            <w:pPr>
              <w:spacing w:line="360" w:lineRule="auto"/>
              <w:jc w:val="center"/>
              <w:rPr>
                <w:rFonts w:ascii="仿宋" w:hAnsi="仿宋" w:eastAsia="仿宋"/>
                <w:kern w:val="2"/>
                <w:sz w:val="24"/>
                <w:szCs w:val="24"/>
              </w:rPr>
            </w:pPr>
          </w:p>
        </w:tc>
        <w:tc>
          <w:tcPr>
            <w:tcW w:w="4536" w:type="dxa"/>
          </w:tcPr>
          <w:p w14:paraId="6AD22431">
            <w:pPr>
              <w:spacing w:line="360" w:lineRule="auto"/>
              <w:rPr>
                <w:rFonts w:ascii="仿宋" w:hAnsi="仿宋" w:eastAsia="仿宋"/>
                <w:kern w:val="2"/>
                <w:sz w:val="24"/>
                <w:szCs w:val="24"/>
              </w:rPr>
            </w:pPr>
            <w:r>
              <w:rPr>
                <w:rFonts w:hint="eastAsia" w:ascii="仿宋" w:hAnsi="仿宋" w:eastAsia="仿宋"/>
                <w:kern w:val="2"/>
                <w:sz w:val="24"/>
                <w:szCs w:val="24"/>
              </w:rPr>
              <w:t>中文核心期刊、CSCD、CSSCI扩展版</w:t>
            </w:r>
          </w:p>
        </w:tc>
        <w:tc>
          <w:tcPr>
            <w:tcW w:w="851" w:type="dxa"/>
          </w:tcPr>
          <w:p w14:paraId="49757C06">
            <w:pPr>
              <w:spacing w:line="360" w:lineRule="auto"/>
              <w:jc w:val="center"/>
              <w:rPr>
                <w:rFonts w:ascii="仿宋" w:hAnsi="仿宋" w:eastAsia="仿宋"/>
                <w:kern w:val="2"/>
                <w:sz w:val="24"/>
                <w:szCs w:val="24"/>
              </w:rPr>
            </w:pPr>
            <w:r>
              <w:rPr>
                <w:rFonts w:hint="eastAsia" w:ascii="仿宋" w:hAnsi="仿宋" w:eastAsia="仿宋"/>
                <w:kern w:val="2"/>
                <w:sz w:val="24"/>
                <w:szCs w:val="24"/>
              </w:rPr>
              <w:t>C类</w:t>
            </w:r>
          </w:p>
        </w:tc>
        <w:tc>
          <w:tcPr>
            <w:tcW w:w="1559" w:type="dxa"/>
            <w:vAlign w:val="center"/>
          </w:tcPr>
          <w:p w14:paraId="37B27D17">
            <w:pPr>
              <w:spacing w:line="360" w:lineRule="auto"/>
              <w:jc w:val="center"/>
              <w:rPr>
                <w:rFonts w:ascii="仿宋" w:hAnsi="仿宋" w:eastAsia="仿宋"/>
                <w:kern w:val="2"/>
                <w:sz w:val="24"/>
                <w:szCs w:val="24"/>
              </w:rPr>
            </w:pPr>
            <w:r>
              <w:rPr>
                <w:rFonts w:hint="eastAsia" w:ascii="仿宋" w:hAnsi="仿宋" w:eastAsia="仿宋"/>
                <w:kern w:val="2"/>
                <w:sz w:val="24"/>
                <w:szCs w:val="24"/>
              </w:rPr>
              <w:t>90</w:t>
            </w:r>
          </w:p>
        </w:tc>
      </w:tr>
      <w:tr w14:paraId="23B53A14">
        <w:trPr>
          <w:jc w:val="center"/>
        </w:trPr>
        <w:tc>
          <w:tcPr>
            <w:tcW w:w="1384" w:type="dxa"/>
            <w:vMerge w:val="continue"/>
          </w:tcPr>
          <w:p w14:paraId="72A64A2E">
            <w:pPr>
              <w:spacing w:line="360" w:lineRule="auto"/>
              <w:jc w:val="center"/>
              <w:rPr>
                <w:rFonts w:ascii="仿宋" w:hAnsi="仿宋" w:eastAsia="仿宋"/>
                <w:kern w:val="2"/>
                <w:sz w:val="24"/>
                <w:szCs w:val="24"/>
              </w:rPr>
            </w:pPr>
          </w:p>
        </w:tc>
        <w:tc>
          <w:tcPr>
            <w:tcW w:w="4536" w:type="dxa"/>
          </w:tcPr>
          <w:p w14:paraId="2AC363E1">
            <w:pPr>
              <w:spacing w:line="360" w:lineRule="auto"/>
              <w:rPr>
                <w:rFonts w:ascii="仿宋" w:hAnsi="仿宋" w:eastAsia="仿宋"/>
                <w:kern w:val="2"/>
                <w:sz w:val="24"/>
                <w:szCs w:val="24"/>
              </w:rPr>
            </w:pPr>
            <w:r>
              <w:rPr>
                <w:rFonts w:hint="eastAsia" w:ascii="仿宋" w:hAnsi="仿宋" w:eastAsia="仿宋"/>
                <w:kern w:val="2"/>
                <w:sz w:val="24"/>
                <w:szCs w:val="24"/>
              </w:rPr>
              <w:t>科技核心、人文社科核心期刊</w:t>
            </w:r>
          </w:p>
        </w:tc>
        <w:tc>
          <w:tcPr>
            <w:tcW w:w="851" w:type="dxa"/>
          </w:tcPr>
          <w:p w14:paraId="314AFC7E">
            <w:pPr>
              <w:spacing w:line="360" w:lineRule="auto"/>
              <w:jc w:val="center"/>
              <w:rPr>
                <w:rFonts w:ascii="仿宋" w:hAnsi="仿宋" w:eastAsia="仿宋"/>
                <w:kern w:val="2"/>
                <w:sz w:val="24"/>
                <w:szCs w:val="24"/>
              </w:rPr>
            </w:pPr>
            <w:r>
              <w:rPr>
                <w:rFonts w:hint="eastAsia" w:ascii="仿宋" w:hAnsi="仿宋" w:eastAsia="仿宋"/>
                <w:kern w:val="2"/>
                <w:sz w:val="24"/>
                <w:szCs w:val="24"/>
              </w:rPr>
              <w:t>D类</w:t>
            </w:r>
          </w:p>
        </w:tc>
        <w:tc>
          <w:tcPr>
            <w:tcW w:w="1559" w:type="dxa"/>
            <w:vAlign w:val="center"/>
          </w:tcPr>
          <w:p w14:paraId="4F21E539">
            <w:pPr>
              <w:spacing w:line="360" w:lineRule="auto"/>
              <w:jc w:val="center"/>
              <w:rPr>
                <w:rFonts w:ascii="仿宋" w:hAnsi="仿宋" w:eastAsia="仿宋"/>
                <w:kern w:val="2"/>
                <w:sz w:val="24"/>
                <w:szCs w:val="24"/>
              </w:rPr>
            </w:pPr>
            <w:r>
              <w:rPr>
                <w:rFonts w:hint="eastAsia" w:ascii="仿宋" w:hAnsi="仿宋" w:eastAsia="仿宋"/>
                <w:kern w:val="2"/>
                <w:sz w:val="24"/>
                <w:szCs w:val="24"/>
              </w:rPr>
              <w:t>50</w:t>
            </w:r>
          </w:p>
        </w:tc>
      </w:tr>
      <w:tr w14:paraId="4BA6EC69">
        <w:trPr>
          <w:jc w:val="center"/>
        </w:trPr>
        <w:tc>
          <w:tcPr>
            <w:tcW w:w="1384" w:type="dxa"/>
            <w:vMerge w:val="continue"/>
          </w:tcPr>
          <w:p w14:paraId="66271EC4">
            <w:pPr>
              <w:spacing w:line="360" w:lineRule="auto"/>
              <w:jc w:val="center"/>
              <w:rPr>
                <w:rFonts w:ascii="仿宋" w:hAnsi="仿宋" w:eastAsia="仿宋"/>
                <w:kern w:val="2"/>
                <w:sz w:val="24"/>
                <w:szCs w:val="24"/>
              </w:rPr>
            </w:pPr>
          </w:p>
        </w:tc>
        <w:tc>
          <w:tcPr>
            <w:tcW w:w="4536" w:type="dxa"/>
          </w:tcPr>
          <w:p w14:paraId="05BE0317">
            <w:pPr>
              <w:spacing w:line="360" w:lineRule="auto"/>
              <w:rPr>
                <w:rFonts w:ascii="仿宋" w:hAnsi="仿宋" w:eastAsia="仿宋"/>
                <w:kern w:val="2"/>
                <w:sz w:val="24"/>
                <w:szCs w:val="24"/>
              </w:rPr>
            </w:pPr>
            <w:r>
              <w:rPr>
                <w:rFonts w:hint="eastAsia" w:ascii="仿宋" w:hAnsi="仿宋" w:eastAsia="仿宋"/>
                <w:kern w:val="2"/>
                <w:sz w:val="24"/>
                <w:szCs w:val="24"/>
              </w:rPr>
              <w:t>会议论文、一般学术期刊论文</w:t>
            </w:r>
          </w:p>
        </w:tc>
        <w:tc>
          <w:tcPr>
            <w:tcW w:w="851" w:type="dxa"/>
          </w:tcPr>
          <w:p w14:paraId="34D11E36">
            <w:pPr>
              <w:spacing w:line="360" w:lineRule="auto"/>
              <w:jc w:val="center"/>
              <w:rPr>
                <w:rFonts w:ascii="仿宋" w:hAnsi="仿宋" w:eastAsia="仿宋"/>
                <w:kern w:val="2"/>
                <w:sz w:val="24"/>
                <w:szCs w:val="24"/>
              </w:rPr>
            </w:pPr>
            <w:r>
              <w:rPr>
                <w:rFonts w:hint="eastAsia" w:ascii="仿宋" w:hAnsi="仿宋" w:eastAsia="仿宋"/>
                <w:kern w:val="2"/>
                <w:sz w:val="24"/>
                <w:szCs w:val="24"/>
              </w:rPr>
              <w:t>E类</w:t>
            </w:r>
          </w:p>
        </w:tc>
        <w:tc>
          <w:tcPr>
            <w:tcW w:w="1559" w:type="dxa"/>
            <w:vAlign w:val="center"/>
          </w:tcPr>
          <w:p w14:paraId="373D6F0C">
            <w:pPr>
              <w:spacing w:line="360" w:lineRule="auto"/>
              <w:jc w:val="center"/>
              <w:rPr>
                <w:rFonts w:ascii="仿宋" w:hAnsi="仿宋" w:eastAsia="仿宋"/>
                <w:kern w:val="2"/>
                <w:sz w:val="24"/>
                <w:szCs w:val="24"/>
              </w:rPr>
            </w:pPr>
            <w:r>
              <w:rPr>
                <w:rFonts w:hint="eastAsia" w:ascii="仿宋" w:hAnsi="仿宋" w:eastAsia="仿宋"/>
                <w:kern w:val="2"/>
                <w:sz w:val="24"/>
                <w:szCs w:val="24"/>
              </w:rPr>
              <w:t>10</w:t>
            </w:r>
          </w:p>
        </w:tc>
      </w:tr>
      <w:tr w14:paraId="04F6D79E">
        <w:trPr>
          <w:jc w:val="center"/>
        </w:trPr>
        <w:tc>
          <w:tcPr>
            <w:tcW w:w="1384" w:type="dxa"/>
            <w:vMerge w:val="restart"/>
            <w:vAlign w:val="center"/>
          </w:tcPr>
          <w:p w14:paraId="2A1561E2">
            <w:pPr>
              <w:spacing w:line="360" w:lineRule="auto"/>
              <w:jc w:val="center"/>
              <w:rPr>
                <w:rFonts w:ascii="仿宋" w:hAnsi="仿宋" w:eastAsia="仿宋"/>
                <w:kern w:val="2"/>
                <w:sz w:val="24"/>
                <w:szCs w:val="24"/>
              </w:rPr>
            </w:pPr>
            <w:r>
              <w:rPr>
                <w:rFonts w:hint="eastAsia" w:ascii="仿宋" w:hAnsi="仿宋" w:eastAsia="仿宋"/>
                <w:kern w:val="2"/>
                <w:sz w:val="24"/>
                <w:szCs w:val="24"/>
              </w:rPr>
              <w:t>科研成果</w:t>
            </w:r>
          </w:p>
        </w:tc>
        <w:tc>
          <w:tcPr>
            <w:tcW w:w="4536" w:type="dxa"/>
          </w:tcPr>
          <w:p w14:paraId="75AA7EE0">
            <w:pPr>
              <w:spacing w:line="360" w:lineRule="auto"/>
              <w:rPr>
                <w:rFonts w:ascii="仿宋" w:hAnsi="仿宋" w:eastAsia="仿宋"/>
                <w:kern w:val="2"/>
                <w:sz w:val="24"/>
                <w:szCs w:val="24"/>
              </w:rPr>
            </w:pPr>
            <w:r>
              <w:rPr>
                <w:rFonts w:hint="eastAsia" w:ascii="仿宋" w:hAnsi="仿宋" w:eastAsia="仿宋"/>
                <w:kern w:val="2"/>
                <w:sz w:val="24"/>
                <w:szCs w:val="24"/>
              </w:rPr>
              <w:t>实用新型专利</w:t>
            </w:r>
          </w:p>
        </w:tc>
        <w:tc>
          <w:tcPr>
            <w:tcW w:w="851" w:type="dxa"/>
          </w:tcPr>
          <w:p w14:paraId="2E0D9B35">
            <w:pPr>
              <w:spacing w:line="360" w:lineRule="auto"/>
              <w:rPr>
                <w:rFonts w:ascii="仿宋" w:hAnsi="仿宋" w:eastAsia="仿宋"/>
                <w:kern w:val="2"/>
                <w:sz w:val="24"/>
                <w:szCs w:val="24"/>
              </w:rPr>
            </w:pPr>
          </w:p>
        </w:tc>
        <w:tc>
          <w:tcPr>
            <w:tcW w:w="1559" w:type="dxa"/>
            <w:vAlign w:val="center"/>
          </w:tcPr>
          <w:p w14:paraId="5E2FEB85">
            <w:pPr>
              <w:spacing w:line="360" w:lineRule="auto"/>
              <w:jc w:val="center"/>
              <w:rPr>
                <w:rFonts w:ascii="仿宋" w:hAnsi="仿宋" w:eastAsia="仿宋"/>
                <w:kern w:val="2"/>
                <w:sz w:val="24"/>
                <w:szCs w:val="24"/>
              </w:rPr>
            </w:pPr>
            <w:r>
              <w:rPr>
                <w:rFonts w:hint="eastAsia" w:ascii="仿宋" w:hAnsi="仿宋" w:eastAsia="仿宋"/>
                <w:kern w:val="2"/>
                <w:sz w:val="24"/>
                <w:szCs w:val="24"/>
              </w:rPr>
              <w:t>60</w:t>
            </w:r>
          </w:p>
        </w:tc>
      </w:tr>
      <w:tr w14:paraId="6A8B2F14">
        <w:trPr>
          <w:jc w:val="center"/>
        </w:trPr>
        <w:tc>
          <w:tcPr>
            <w:tcW w:w="1384" w:type="dxa"/>
            <w:vMerge w:val="continue"/>
          </w:tcPr>
          <w:p w14:paraId="4CE1C856">
            <w:pPr>
              <w:spacing w:line="360" w:lineRule="auto"/>
              <w:jc w:val="center"/>
              <w:rPr>
                <w:rFonts w:ascii="仿宋" w:hAnsi="仿宋" w:eastAsia="仿宋"/>
                <w:kern w:val="2"/>
                <w:sz w:val="24"/>
                <w:szCs w:val="24"/>
              </w:rPr>
            </w:pPr>
          </w:p>
        </w:tc>
        <w:tc>
          <w:tcPr>
            <w:tcW w:w="4536" w:type="dxa"/>
          </w:tcPr>
          <w:p w14:paraId="7F6FA242">
            <w:pPr>
              <w:spacing w:line="360" w:lineRule="auto"/>
              <w:rPr>
                <w:rFonts w:ascii="仿宋" w:hAnsi="仿宋" w:eastAsia="仿宋"/>
                <w:kern w:val="2"/>
                <w:sz w:val="24"/>
                <w:szCs w:val="24"/>
              </w:rPr>
            </w:pPr>
            <w:r>
              <w:rPr>
                <w:rFonts w:hint="eastAsia" w:ascii="仿宋" w:hAnsi="仿宋" w:eastAsia="仿宋"/>
                <w:kern w:val="2"/>
                <w:sz w:val="24"/>
                <w:szCs w:val="24"/>
              </w:rPr>
              <w:t>外观设计专利、国家级软件著作权</w:t>
            </w:r>
          </w:p>
        </w:tc>
        <w:tc>
          <w:tcPr>
            <w:tcW w:w="851" w:type="dxa"/>
          </w:tcPr>
          <w:p w14:paraId="41E9DD5D">
            <w:pPr>
              <w:spacing w:line="360" w:lineRule="auto"/>
              <w:rPr>
                <w:rFonts w:ascii="仿宋" w:hAnsi="仿宋" w:eastAsia="仿宋"/>
                <w:kern w:val="2"/>
                <w:sz w:val="24"/>
                <w:szCs w:val="24"/>
              </w:rPr>
            </w:pPr>
          </w:p>
        </w:tc>
        <w:tc>
          <w:tcPr>
            <w:tcW w:w="1559" w:type="dxa"/>
            <w:vAlign w:val="center"/>
          </w:tcPr>
          <w:p w14:paraId="0E585BE8">
            <w:pPr>
              <w:spacing w:line="360" w:lineRule="auto"/>
              <w:jc w:val="center"/>
              <w:rPr>
                <w:rFonts w:ascii="仿宋" w:hAnsi="仿宋" w:eastAsia="仿宋"/>
                <w:kern w:val="2"/>
                <w:sz w:val="24"/>
                <w:szCs w:val="24"/>
              </w:rPr>
            </w:pPr>
            <w:r>
              <w:rPr>
                <w:rFonts w:hint="eastAsia" w:ascii="仿宋" w:hAnsi="仿宋" w:eastAsia="仿宋"/>
                <w:kern w:val="2"/>
                <w:sz w:val="24"/>
                <w:szCs w:val="24"/>
              </w:rPr>
              <w:t>40</w:t>
            </w:r>
          </w:p>
        </w:tc>
      </w:tr>
      <w:tr w14:paraId="47EF595D">
        <w:trPr>
          <w:jc w:val="center"/>
        </w:trPr>
        <w:tc>
          <w:tcPr>
            <w:tcW w:w="1384" w:type="dxa"/>
            <w:vMerge w:val="continue"/>
          </w:tcPr>
          <w:p w14:paraId="76C045AD">
            <w:pPr>
              <w:spacing w:line="360" w:lineRule="auto"/>
              <w:jc w:val="center"/>
              <w:rPr>
                <w:rFonts w:ascii="仿宋" w:hAnsi="仿宋" w:eastAsia="仿宋"/>
                <w:kern w:val="2"/>
                <w:sz w:val="24"/>
                <w:szCs w:val="24"/>
              </w:rPr>
            </w:pPr>
          </w:p>
        </w:tc>
        <w:tc>
          <w:tcPr>
            <w:tcW w:w="4536" w:type="dxa"/>
          </w:tcPr>
          <w:p w14:paraId="013A96BB">
            <w:pPr>
              <w:spacing w:line="360" w:lineRule="auto"/>
              <w:jc w:val="left"/>
              <w:rPr>
                <w:rFonts w:ascii="仿宋" w:hAnsi="仿宋" w:eastAsia="仿宋"/>
                <w:kern w:val="2"/>
                <w:sz w:val="24"/>
                <w:szCs w:val="24"/>
              </w:rPr>
            </w:pPr>
            <w:r>
              <w:rPr>
                <w:rFonts w:hint="eastAsia" w:ascii="仿宋" w:hAnsi="仿宋" w:eastAsia="仿宋"/>
                <w:kern w:val="2"/>
                <w:sz w:val="24"/>
                <w:szCs w:val="24"/>
              </w:rPr>
              <w:t>艺术作品入选（参展）省部级评奖（展览）</w:t>
            </w:r>
          </w:p>
        </w:tc>
        <w:tc>
          <w:tcPr>
            <w:tcW w:w="851" w:type="dxa"/>
          </w:tcPr>
          <w:p w14:paraId="27A3C656">
            <w:pPr>
              <w:spacing w:line="360" w:lineRule="auto"/>
              <w:rPr>
                <w:rFonts w:ascii="仿宋" w:hAnsi="仿宋" w:eastAsia="仿宋"/>
                <w:kern w:val="2"/>
                <w:sz w:val="24"/>
                <w:szCs w:val="24"/>
              </w:rPr>
            </w:pPr>
          </w:p>
        </w:tc>
        <w:tc>
          <w:tcPr>
            <w:tcW w:w="1559" w:type="dxa"/>
            <w:vAlign w:val="center"/>
          </w:tcPr>
          <w:p w14:paraId="3E9AA37E">
            <w:pPr>
              <w:spacing w:line="360" w:lineRule="auto"/>
              <w:jc w:val="center"/>
              <w:rPr>
                <w:rFonts w:ascii="仿宋" w:hAnsi="仿宋" w:eastAsia="仿宋"/>
                <w:kern w:val="2"/>
                <w:sz w:val="24"/>
                <w:szCs w:val="24"/>
              </w:rPr>
            </w:pPr>
            <w:r>
              <w:rPr>
                <w:rFonts w:hint="eastAsia" w:ascii="仿宋" w:hAnsi="仿宋" w:eastAsia="仿宋"/>
                <w:kern w:val="2"/>
                <w:sz w:val="24"/>
                <w:szCs w:val="24"/>
              </w:rPr>
              <w:t>60</w:t>
            </w:r>
          </w:p>
        </w:tc>
      </w:tr>
      <w:tr w14:paraId="6D8FABA9">
        <w:trPr>
          <w:trHeight w:val="416" w:hRule="atLeast"/>
          <w:jc w:val="center"/>
        </w:trPr>
        <w:tc>
          <w:tcPr>
            <w:tcW w:w="8330" w:type="dxa"/>
            <w:gridSpan w:val="4"/>
          </w:tcPr>
          <w:p w14:paraId="7EA48629">
            <w:pPr>
              <w:spacing w:line="360" w:lineRule="auto"/>
              <w:rPr>
                <w:rFonts w:ascii="仿宋" w:hAnsi="仿宋" w:eastAsia="仿宋"/>
                <w:kern w:val="2"/>
                <w:sz w:val="24"/>
                <w:szCs w:val="24"/>
              </w:rPr>
            </w:pPr>
            <w:r>
              <w:rPr>
                <w:rFonts w:hint="eastAsia" w:ascii="仿宋" w:hAnsi="仿宋" w:eastAsia="仿宋"/>
                <w:kern w:val="2"/>
                <w:sz w:val="24"/>
                <w:szCs w:val="24"/>
              </w:rPr>
              <w:t>1、所有论文及成果必须青岛农业大学为第一完成单位，且研究生本人为第一位，论文及成果必须与所学专业密切相关。</w:t>
            </w:r>
          </w:p>
          <w:p w14:paraId="3AB3AAC4">
            <w:pPr>
              <w:spacing w:line="360" w:lineRule="auto"/>
              <w:rPr>
                <w:rFonts w:ascii="仿宋" w:hAnsi="仿宋" w:eastAsia="仿宋"/>
                <w:kern w:val="2"/>
                <w:sz w:val="24"/>
                <w:szCs w:val="24"/>
              </w:rPr>
            </w:pPr>
            <w:r>
              <w:rPr>
                <w:rFonts w:hint="eastAsia" w:ascii="仿宋" w:hAnsi="仿宋" w:eastAsia="仿宋"/>
                <w:kern w:val="2"/>
                <w:sz w:val="24"/>
                <w:szCs w:val="24"/>
              </w:rPr>
              <w:t>2、学术论文必须正式发表（中文论文见刊且刊物中国知网或万方或维普可查询，或中文论文中国知网或万方或维普可查询；外文论文正式出版且相应层次刊源可查询，或提供外文论文检索报告）；科研成果必须获得证书。</w:t>
            </w:r>
          </w:p>
          <w:p w14:paraId="0663892E">
            <w:pPr>
              <w:spacing w:line="360" w:lineRule="auto"/>
              <w:rPr>
                <w:rFonts w:ascii="仿宋" w:hAnsi="仿宋" w:eastAsia="仿宋"/>
                <w:kern w:val="2"/>
                <w:sz w:val="24"/>
                <w:szCs w:val="24"/>
              </w:rPr>
            </w:pPr>
            <w:r>
              <w:rPr>
                <w:rFonts w:hint="eastAsia" w:ascii="仿宋" w:hAnsi="仿宋" w:eastAsia="仿宋"/>
                <w:kern w:val="2"/>
                <w:sz w:val="24"/>
                <w:szCs w:val="24"/>
              </w:rPr>
              <w:t>3、申请国家奖学金的研究生需至少有1篇学术论文，且E类论文最多4篇计算积分，其他成果积分40分及以下的最多1项计算积分。</w:t>
            </w:r>
          </w:p>
          <w:p w14:paraId="5BCF2393">
            <w:pPr>
              <w:spacing w:line="360" w:lineRule="auto"/>
              <w:rPr>
                <w:rFonts w:ascii="仿宋" w:hAnsi="仿宋" w:eastAsia="仿宋"/>
                <w:kern w:val="2"/>
                <w:sz w:val="24"/>
                <w:szCs w:val="24"/>
              </w:rPr>
            </w:pPr>
            <w:r>
              <w:rPr>
                <w:rFonts w:hint="eastAsia" w:ascii="仿宋" w:hAnsi="仿宋" w:eastAsia="仿宋"/>
                <w:kern w:val="2"/>
                <w:sz w:val="24"/>
                <w:szCs w:val="24"/>
              </w:rPr>
              <w:t>4、艺术作品按照学校最新的科研奖励办法和学校最新的专业技术职务评价实施办法认定。</w:t>
            </w:r>
          </w:p>
          <w:p w14:paraId="72848C2A">
            <w:pPr>
              <w:spacing w:line="360" w:lineRule="auto"/>
              <w:rPr>
                <w:rFonts w:ascii="仿宋" w:hAnsi="仿宋" w:eastAsia="仿宋"/>
                <w:kern w:val="0"/>
                <w:sz w:val="28"/>
                <w:szCs w:val="28"/>
              </w:rPr>
            </w:pPr>
            <w:r>
              <w:rPr>
                <w:rFonts w:hint="eastAsia" w:ascii="仿宋" w:hAnsi="仿宋" w:eastAsia="仿宋"/>
                <w:kern w:val="2"/>
                <w:sz w:val="24"/>
                <w:szCs w:val="24"/>
              </w:rPr>
              <w:t>5、未列入的项目内容若符合学校最新的专业技术职务评价实施办法，经学院认定后可按照学校最新的专业技术职务评价实施办法计算积分。</w:t>
            </w:r>
          </w:p>
        </w:tc>
      </w:tr>
    </w:tbl>
    <w:p w14:paraId="6DEBF7E0">
      <w:pPr>
        <w:pStyle w:val="7"/>
        <w:spacing w:line="360" w:lineRule="auto"/>
        <w:ind w:firstLine="480" w:firstLineChars="0"/>
        <w:rPr>
          <w:rFonts w:ascii="仿宋" w:hAnsi="仿宋" w:eastAsia="仿宋"/>
        </w:rPr>
      </w:pPr>
      <w:r>
        <w:rPr>
          <w:rFonts w:hint="eastAsia" w:ascii="仿宋" w:hAnsi="仿宋" w:eastAsia="仿宋"/>
        </w:rPr>
        <w:t>4、</w:t>
      </w:r>
      <w:bookmarkStart w:id="8" w:name="OLE_LINK27"/>
      <w:bookmarkStart w:id="9" w:name="OLE_LINK28"/>
      <w:r>
        <w:rPr>
          <w:rFonts w:hint="eastAsia" w:ascii="仿宋" w:hAnsi="仿宋" w:eastAsia="仿宋"/>
        </w:rPr>
        <w:t>按照评价成绩</w:t>
      </w:r>
      <w:bookmarkEnd w:id="8"/>
      <w:bookmarkEnd w:id="9"/>
      <w:r>
        <w:rPr>
          <w:rFonts w:hint="eastAsia" w:ascii="仿宋" w:hAnsi="仿宋" w:eastAsia="仿宋"/>
        </w:rPr>
        <w:t>从高到低进行排序，作为学院评定委员会评定时学习科研的评价依据。</w:t>
      </w:r>
    </w:p>
    <w:p w14:paraId="00594B03">
      <w:pPr>
        <w:pStyle w:val="7"/>
        <w:spacing w:line="360" w:lineRule="auto"/>
        <w:ind w:firstLine="480" w:firstLineChars="0"/>
        <w:rPr>
          <w:rFonts w:ascii="仿宋" w:hAnsi="仿宋" w:eastAsia="仿宋"/>
        </w:rPr>
      </w:pPr>
      <w:r>
        <w:rPr>
          <w:rFonts w:hint="eastAsia" w:ascii="仿宋" w:hAnsi="仿宋" w:eastAsia="仿宋"/>
        </w:rPr>
        <w:t>5、各类奖助学金的学习科研评价参照该方法排序。</w:t>
      </w:r>
    </w:p>
    <w:p w14:paraId="39049BD6">
      <w:pPr>
        <w:spacing w:before="156" w:beforeLines="50" w:after="156" w:afterLines="50"/>
        <w:rPr>
          <w:rFonts w:ascii="仿宋" w:hAnsi="仿宋" w:eastAsia="仿宋"/>
          <w:b/>
        </w:rPr>
      </w:pPr>
      <w:r>
        <w:rPr>
          <w:rFonts w:hint="eastAsia" w:ascii="仿宋" w:hAnsi="仿宋" w:eastAsia="仿宋"/>
          <w:b/>
        </w:rPr>
        <w:t>五、申报与评定</w:t>
      </w:r>
    </w:p>
    <w:p w14:paraId="70BF32E7">
      <w:pPr>
        <w:widowControl/>
        <w:snapToGrid w:val="0"/>
        <w:spacing w:line="360" w:lineRule="auto"/>
        <w:ind w:firstLine="480" w:firstLineChars="200"/>
        <w:jc w:val="left"/>
        <w:rPr>
          <w:rFonts w:ascii="仿宋" w:hAnsi="仿宋" w:eastAsia="仿宋"/>
        </w:rPr>
      </w:pPr>
      <w:r>
        <w:rPr>
          <w:rFonts w:hint="eastAsia" w:ascii="仿宋" w:hAnsi="仿宋" w:eastAsia="仿宋"/>
        </w:rPr>
        <w:t>1、研究生个人根据评选要求填写相应表格并提供材料向一级学科或专业学位类别</w:t>
      </w:r>
      <w:r>
        <w:rPr>
          <w:rFonts w:ascii="仿宋" w:hAnsi="仿宋" w:eastAsia="仿宋"/>
        </w:rPr>
        <w:t>/</w:t>
      </w:r>
      <w:r>
        <w:rPr>
          <w:rFonts w:hint="eastAsia" w:ascii="仿宋" w:hAnsi="仿宋" w:eastAsia="仿宋"/>
        </w:rPr>
        <w:t>领域（或方向）所属学院申请。</w:t>
      </w:r>
    </w:p>
    <w:p w14:paraId="7813AB62">
      <w:pPr>
        <w:widowControl/>
        <w:snapToGrid w:val="0"/>
        <w:spacing w:line="360" w:lineRule="auto"/>
        <w:ind w:firstLine="480" w:firstLineChars="200"/>
        <w:jc w:val="left"/>
        <w:rPr>
          <w:rFonts w:ascii="仿宋" w:hAnsi="仿宋" w:eastAsia="仿宋"/>
        </w:rPr>
      </w:pPr>
      <w:r>
        <w:rPr>
          <w:rFonts w:hint="eastAsia" w:ascii="仿宋" w:hAnsi="仿宋" w:eastAsia="仿宋"/>
        </w:rPr>
        <w:t>2、一级学科或专业学位类别</w:t>
      </w:r>
      <w:r>
        <w:rPr>
          <w:rFonts w:ascii="仿宋" w:hAnsi="仿宋" w:eastAsia="仿宋"/>
        </w:rPr>
        <w:t>/</w:t>
      </w:r>
      <w:r>
        <w:rPr>
          <w:rFonts w:hint="eastAsia" w:ascii="仿宋" w:hAnsi="仿宋" w:eastAsia="仿宋"/>
        </w:rPr>
        <w:t>领域（或方向）所属学院成立由学院党政领导、导师代表、研究生辅导员、研究生代表组成不少于</w:t>
      </w:r>
      <w:r>
        <w:rPr>
          <w:rFonts w:ascii="仿宋" w:hAnsi="仿宋" w:eastAsia="仿宋"/>
        </w:rPr>
        <w:t>7</w:t>
      </w:r>
      <w:r>
        <w:rPr>
          <w:rFonts w:hint="eastAsia" w:ascii="仿宋" w:hAnsi="仿宋" w:eastAsia="仿宋"/>
        </w:rPr>
        <w:t>人的学院研究生奖学金评审委员会。评审委员会负责研究生奖学金评审工作，评审委员会委员要采取回避制。学院应确定一名监督人员负责对研究生奖学金评审进行监督。</w:t>
      </w:r>
    </w:p>
    <w:p w14:paraId="033C90AA">
      <w:pPr>
        <w:widowControl/>
        <w:snapToGrid w:val="0"/>
        <w:spacing w:line="360" w:lineRule="auto"/>
        <w:ind w:firstLine="480" w:firstLineChars="200"/>
        <w:jc w:val="left"/>
        <w:rPr>
          <w:rFonts w:ascii="仿宋" w:hAnsi="仿宋" w:eastAsia="仿宋"/>
        </w:rPr>
      </w:pPr>
      <w:r>
        <w:rPr>
          <w:rFonts w:hint="eastAsia" w:ascii="仿宋" w:hAnsi="仿宋" w:eastAsia="仿宋"/>
        </w:rPr>
        <w:t>3、学院研究生辅导员负责对研究生申报材料进行审核，审核后提交学院研究生奖学金评审委员会。</w:t>
      </w:r>
    </w:p>
    <w:p w14:paraId="6A5D5033">
      <w:pPr>
        <w:widowControl/>
        <w:snapToGrid w:val="0"/>
        <w:spacing w:line="360" w:lineRule="auto"/>
        <w:ind w:firstLine="480" w:firstLineChars="200"/>
        <w:jc w:val="left"/>
        <w:rPr>
          <w:rFonts w:ascii="仿宋" w:hAnsi="仿宋" w:eastAsia="仿宋"/>
        </w:rPr>
      </w:pPr>
      <w:r>
        <w:rPr>
          <w:rFonts w:hint="eastAsia" w:ascii="仿宋" w:hAnsi="仿宋" w:eastAsia="仿宋"/>
        </w:rPr>
        <w:t>4、学院评定委员会组织对申请者进行投票表决评定，按照票数多少（或投票打分）由高到低评选出所分配名额拟获奖或拟推荐人员。</w:t>
      </w:r>
    </w:p>
    <w:p w14:paraId="5199DEC4">
      <w:pPr>
        <w:widowControl/>
        <w:snapToGrid w:val="0"/>
        <w:spacing w:line="360" w:lineRule="auto"/>
        <w:ind w:firstLine="480" w:firstLineChars="200"/>
        <w:jc w:val="left"/>
        <w:rPr>
          <w:rFonts w:ascii="仿宋" w:hAnsi="仿宋" w:eastAsia="仿宋"/>
        </w:rPr>
      </w:pPr>
      <w:r>
        <w:rPr>
          <w:rFonts w:hint="eastAsia" w:ascii="仿宋" w:hAnsi="仿宋" w:eastAsia="仿宋"/>
        </w:rPr>
        <w:t>5、学院应在学院范围内对研究生奖学金拟获奖人员或拟推荐人员进行公示不少于</w:t>
      </w:r>
      <w:r>
        <w:rPr>
          <w:rFonts w:ascii="仿宋" w:hAnsi="仿宋" w:eastAsia="仿宋"/>
        </w:rPr>
        <w:t>5</w:t>
      </w:r>
      <w:r>
        <w:rPr>
          <w:rFonts w:hint="eastAsia" w:ascii="仿宋" w:hAnsi="仿宋" w:eastAsia="仿宋"/>
        </w:rPr>
        <w:t>个工作日，公示无异议后，在规定时间内按要求将获奖人员或推荐人员及有关申报材料提交研究生处。</w:t>
      </w:r>
    </w:p>
    <w:p w14:paraId="7172534A">
      <w:pPr>
        <w:widowControl/>
        <w:snapToGrid w:val="0"/>
        <w:spacing w:line="360" w:lineRule="auto"/>
        <w:ind w:firstLine="480" w:firstLineChars="200"/>
        <w:jc w:val="left"/>
        <w:rPr>
          <w:rFonts w:ascii="仿宋" w:hAnsi="仿宋" w:eastAsia="仿宋"/>
        </w:rPr>
      </w:pPr>
      <w:r>
        <w:rPr>
          <w:rFonts w:hint="eastAsia" w:ascii="仿宋" w:hAnsi="仿宋" w:eastAsia="仿宋"/>
        </w:rPr>
        <w:t>6、本细则与学校文件不一致的，以学校文件为准。</w:t>
      </w:r>
    </w:p>
    <w:p w14:paraId="41725D58">
      <w:pPr>
        <w:widowControl/>
        <w:snapToGrid w:val="0"/>
        <w:spacing w:line="360" w:lineRule="auto"/>
        <w:ind w:firstLine="480" w:firstLineChars="200"/>
        <w:jc w:val="left"/>
        <w:rPr>
          <w:rFonts w:ascii="仿宋" w:hAnsi="仿宋" w:eastAsia="仿宋"/>
        </w:rPr>
      </w:pPr>
      <w:r>
        <w:rPr>
          <w:rFonts w:hint="eastAsia" w:ascii="仿宋" w:hAnsi="仿宋" w:eastAsia="仿宋"/>
        </w:rPr>
        <w:t>7、本细则自</w:t>
      </w:r>
      <w:r>
        <w:rPr>
          <w:rFonts w:ascii="仿宋" w:hAnsi="仿宋" w:eastAsia="仿宋"/>
        </w:rPr>
        <w:t>2022</w:t>
      </w:r>
      <w:r>
        <w:rPr>
          <w:rFonts w:hint="eastAsia" w:ascii="仿宋" w:hAnsi="仿宋" w:eastAsia="仿宋"/>
        </w:rPr>
        <w:t>级研究生开始施行。</w:t>
      </w:r>
      <w:r>
        <w:rPr>
          <w:rFonts w:ascii="仿宋" w:hAnsi="仿宋" w:eastAsia="仿宋"/>
        </w:rPr>
        <w:t>2022</w:t>
      </w:r>
      <w:r>
        <w:rPr>
          <w:rFonts w:hint="eastAsia" w:ascii="仿宋" w:hAnsi="仿宋" w:eastAsia="仿宋"/>
        </w:rPr>
        <w:t>级以前研究生按原相关细则执行。</w:t>
      </w:r>
    </w:p>
    <w:p w14:paraId="50327C82">
      <w:pPr>
        <w:widowControl/>
        <w:snapToGrid w:val="0"/>
        <w:spacing w:line="360" w:lineRule="auto"/>
        <w:jc w:val="left"/>
        <w:rPr>
          <w:rFonts w:ascii="仿宋" w:hAnsi="仿宋" w:eastAsia="仿宋"/>
        </w:rPr>
      </w:pPr>
    </w:p>
    <w:p w14:paraId="14D7FCCD">
      <w:pPr>
        <w:pStyle w:val="7"/>
        <w:spacing w:line="360" w:lineRule="auto"/>
        <w:ind w:right="360" w:firstLine="480" w:firstLineChars="0"/>
        <w:jc w:val="right"/>
        <w:rPr>
          <w:rFonts w:ascii="仿宋" w:hAnsi="仿宋" w:eastAsia="仿宋"/>
        </w:rPr>
      </w:pPr>
      <w:r>
        <w:rPr>
          <w:rFonts w:hint="eastAsia" w:ascii="仿宋" w:hAnsi="仿宋" w:eastAsia="仿宋"/>
        </w:rPr>
        <w:t>动漫与传媒学院</w:t>
      </w:r>
    </w:p>
    <w:p w14:paraId="0BE2806D">
      <w:pPr>
        <w:spacing w:line="360" w:lineRule="auto"/>
        <w:ind w:right="480" w:firstLine="6540" w:firstLineChars="2725"/>
        <w:rPr>
          <w:rFonts w:ascii="仿宋" w:hAnsi="仿宋" w:eastAsia="仿宋"/>
        </w:rPr>
      </w:pPr>
      <w:r>
        <w:rPr>
          <w:rFonts w:hint="eastAsia" w:ascii="仿宋" w:hAnsi="仿宋" w:eastAsia="仿宋"/>
        </w:rPr>
        <w:t>2022.04.20</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E22"/>
    <w:rsid w:val="0000033A"/>
    <w:rsid w:val="00004167"/>
    <w:rsid w:val="00005268"/>
    <w:rsid w:val="00005A23"/>
    <w:rsid w:val="00006D1A"/>
    <w:rsid w:val="00013EB6"/>
    <w:rsid w:val="00030F19"/>
    <w:rsid w:val="0006221E"/>
    <w:rsid w:val="00064348"/>
    <w:rsid w:val="00071F39"/>
    <w:rsid w:val="0007356C"/>
    <w:rsid w:val="00081B03"/>
    <w:rsid w:val="000911D2"/>
    <w:rsid w:val="000A243C"/>
    <w:rsid w:val="000A785C"/>
    <w:rsid w:val="000B35E3"/>
    <w:rsid w:val="000B5D77"/>
    <w:rsid w:val="000C155F"/>
    <w:rsid w:val="000D7DE4"/>
    <w:rsid w:val="00103873"/>
    <w:rsid w:val="001044E1"/>
    <w:rsid w:val="00104997"/>
    <w:rsid w:val="00114CE7"/>
    <w:rsid w:val="00116025"/>
    <w:rsid w:val="00125A49"/>
    <w:rsid w:val="0013406A"/>
    <w:rsid w:val="00136142"/>
    <w:rsid w:val="00153AD1"/>
    <w:rsid w:val="001A5885"/>
    <w:rsid w:val="001A696B"/>
    <w:rsid w:val="001B4C77"/>
    <w:rsid w:val="001D122A"/>
    <w:rsid w:val="001E13AC"/>
    <w:rsid w:val="001E2A93"/>
    <w:rsid w:val="001E4FAC"/>
    <w:rsid w:val="001F2749"/>
    <w:rsid w:val="001F4204"/>
    <w:rsid w:val="0020259A"/>
    <w:rsid w:val="00220181"/>
    <w:rsid w:val="00223382"/>
    <w:rsid w:val="00234138"/>
    <w:rsid w:val="00235F7E"/>
    <w:rsid w:val="00243359"/>
    <w:rsid w:val="00246A01"/>
    <w:rsid w:val="002522CB"/>
    <w:rsid w:val="00253693"/>
    <w:rsid w:val="0025621C"/>
    <w:rsid w:val="00263FA8"/>
    <w:rsid w:val="002642A6"/>
    <w:rsid w:val="0026554A"/>
    <w:rsid w:val="0026786A"/>
    <w:rsid w:val="002A5BF8"/>
    <w:rsid w:val="002C3D8A"/>
    <w:rsid w:val="002C6C93"/>
    <w:rsid w:val="002D4C8F"/>
    <w:rsid w:val="002D7E16"/>
    <w:rsid w:val="002E3E4B"/>
    <w:rsid w:val="002F1EE5"/>
    <w:rsid w:val="00312F7B"/>
    <w:rsid w:val="0032031C"/>
    <w:rsid w:val="00330C3C"/>
    <w:rsid w:val="00344F51"/>
    <w:rsid w:val="00346795"/>
    <w:rsid w:val="00353F8E"/>
    <w:rsid w:val="00357ADD"/>
    <w:rsid w:val="00363A47"/>
    <w:rsid w:val="003779E4"/>
    <w:rsid w:val="00383A9B"/>
    <w:rsid w:val="00391E0F"/>
    <w:rsid w:val="00397CF5"/>
    <w:rsid w:val="003A0094"/>
    <w:rsid w:val="003A099C"/>
    <w:rsid w:val="003A58C2"/>
    <w:rsid w:val="003B3E22"/>
    <w:rsid w:val="003B3F1B"/>
    <w:rsid w:val="003C2DD4"/>
    <w:rsid w:val="003C3A7C"/>
    <w:rsid w:val="003D1CE3"/>
    <w:rsid w:val="003D6BF8"/>
    <w:rsid w:val="003E3B52"/>
    <w:rsid w:val="0040128F"/>
    <w:rsid w:val="0040607E"/>
    <w:rsid w:val="00407EC1"/>
    <w:rsid w:val="00415BDA"/>
    <w:rsid w:val="004171AE"/>
    <w:rsid w:val="00424EBB"/>
    <w:rsid w:val="00426912"/>
    <w:rsid w:val="0043371E"/>
    <w:rsid w:val="00435ED8"/>
    <w:rsid w:val="004559D0"/>
    <w:rsid w:val="0046199B"/>
    <w:rsid w:val="00473626"/>
    <w:rsid w:val="00496F5B"/>
    <w:rsid w:val="004A0E8D"/>
    <w:rsid w:val="004B6B6B"/>
    <w:rsid w:val="004C27AA"/>
    <w:rsid w:val="004C583A"/>
    <w:rsid w:val="004C7476"/>
    <w:rsid w:val="004D15B7"/>
    <w:rsid w:val="004F5213"/>
    <w:rsid w:val="004F6A09"/>
    <w:rsid w:val="005029DC"/>
    <w:rsid w:val="00506B7A"/>
    <w:rsid w:val="00512CB0"/>
    <w:rsid w:val="0053023C"/>
    <w:rsid w:val="00551A79"/>
    <w:rsid w:val="00560859"/>
    <w:rsid w:val="00561097"/>
    <w:rsid w:val="005711FC"/>
    <w:rsid w:val="0057226A"/>
    <w:rsid w:val="00582ED3"/>
    <w:rsid w:val="00585EAF"/>
    <w:rsid w:val="005917E7"/>
    <w:rsid w:val="005A1C29"/>
    <w:rsid w:val="005A7A02"/>
    <w:rsid w:val="005D0A01"/>
    <w:rsid w:val="005F578A"/>
    <w:rsid w:val="00601476"/>
    <w:rsid w:val="006341B2"/>
    <w:rsid w:val="006476FE"/>
    <w:rsid w:val="00654FFF"/>
    <w:rsid w:val="00661CA1"/>
    <w:rsid w:val="00662042"/>
    <w:rsid w:val="00664326"/>
    <w:rsid w:val="00672EB7"/>
    <w:rsid w:val="00690F07"/>
    <w:rsid w:val="006A2E51"/>
    <w:rsid w:val="006B3A1B"/>
    <w:rsid w:val="006C109E"/>
    <w:rsid w:val="006D0AB8"/>
    <w:rsid w:val="006F6A19"/>
    <w:rsid w:val="00713C95"/>
    <w:rsid w:val="007231A5"/>
    <w:rsid w:val="007354DE"/>
    <w:rsid w:val="00765879"/>
    <w:rsid w:val="007722F3"/>
    <w:rsid w:val="007745BD"/>
    <w:rsid w:val="0079051F"/>
    <w:rsid w:val="0079343E"/>
    <w:rsid w:val="00793E2B"/>
    <w:rsid w:val="007C083E"/>
    <w:rsid w:val="007D1839"/>
    <w:rsid w:val="0080204D"/>
    <w:rsid w:val="00814949"/>
    <w:rsid w:val="00823B87"/>
    <w:rsid w:val="00825223"/>
    <w:rsid w:val="00831B66"/>
    <w:rsid w:val="00845C4B"/>
    <w:rsid w:val="00855E5B"/>
    <w:rsid w:val="00856C64"/>
    <w:rsid w:val="00876AB0"/>
    <w:rsid w:val="00883E56"/>
    <w:rsid w:val="00892ABB"/>
    <w:rsid w:val="008A0A49"/>
    <w:rsid w:val="008A29BB"/>
    <w:rsid w:val="008B4D9F"/>
    <w:rsid w:val="008D08E4"/>
    <w:rsid w:val="008D1070"/>
    <w:rsid w:val="008E6056"/>
    <w:rsid w:val="008F28DB"/>
    <w:rsid w:val="00905061"/>
    <w:rsid w:val="00906193"/>
    <w:rsid w:val="009112E9"/>
    <w:rsid w:val="009264E7"/>
    <w:rsid w:val="00947BB9"/>
    <w:rsid w:val="00964009"/>
    <w:rsid w:val="00966464"/>
    <w:rsid w:val="00980D8E"/>
    <w:rsid w:val="0098314A"/>
    <w:rsid w:val="009A176B"/>
    <w:rsid w:val="009A7195"/>
    <w:rsid w:val="009B377B"/>
    <w:rsid w:val="009B5991"/>
    <w:rsid w:val="009C46A6"/>
    <w:rsid w:val="009C6F2E"/>
    <w:rsid w:val="009D701E"/>
    <w:rsid w:val="00A15C0B"/>
    <w:rsid w:val="00A30354"/>
    <w:rsid w:val="00A36277"/>
    <w:rsid w:val="00A507E0"/>
    <w:rsid w:val="00A529AF"/>
    <w:rsid w:val="00A91B14"/>
    <w:rsid w:val="00AB4983"/>
    <w:rsid w:val="00AE2918"/>
    <w:rsid w:val="00AF02C8"/>
    <w:rsid w:val="00AF7446"/>
    <w:rsid w:val="00B0372E"/>
    <w:rsid w:val="00B24C7F"/>
    <w:rsid w:val="00B40B20"/>
    <w:rsid w:val="00B53486"/>
    <w:rsid w:val="00B56F22"/>
    <w:rsid w:val="00B63811"/>
    <w:rsid w:val="00B71488"/>
    <w:rsid w:val="00B726AF"/>
    <w:rsid w:val="00B75BE0"/>
    <w:rsid w:val="00B84D59"/>
    <w:rsid w:val="00B916A8"/>
    <w:rsid w:val="00B91CD6"/>
    <w:rsid w:val="00BA2BD8"/>
    <w:rsid w:val="00BA65FB"/>
    <w:rsid w:val="00BC7CCD"/>
    <w:rsid w:val="00BD4F41"/>
    <w:rsid w:val="00BE3930"/>
    <w:rsid w:val="00BE6984"/>
    <w:rsid w:val="00C15830"/>
    <w:rsid w:val="00C274D5"/>
    <w:rsid w:val="00C33602"/>
    <w:rsid w:val="00C370EC"/>
    <w:rsid w:val="00C425A2"/>
    <w:rsid w:val="00C525E9"/>
    <w:rsid w:val="00C574F1"/>
    <w:rsid w:val="00C80D24"/>
    <w:rsid w:val="00C86645"/>
    <w:rsid w:val="00C922D0"/>
    <w:rsid w:val="00C94C5C"/>
    <w:rsid w:val="00C9608E"/>
    <w:rsid w:val="00CA3567"/>
    <w:rsid w:val="00CD7AB0"/>
    <w:rsid w:val="00CE7E19"/>
    <w:rsid w:val="00CF1615"/>
    <w:rsid w:val="00D25B49"/>
    <w:rsid w:val="00D33474"/>
    <w:rsid w:val="00D4195D"/>
    <w:rsid w:val="00D55BF7"/>
    <w:rsid w:val="00D67E8A"/>
    <w:rsid w:val="00D76F9A"/>
    <w:rsid w:val="00D934B0"/>
    <w:rsid w:val="00D97D44"/>
    <w:rsid w:val="00DA32A7"/>
    <w:rsid w:val="00DB07AE"/>
    <w:rsid w:val="00DB20D4"/>
    <w:rsid w:val="00DB3084"/>
    <w:rsid w:val="00DC4881"/>
    <w:rsid w:val="00DC4DF7"/>
    <w:rsid w:val="00DD10F2"/>
    <w:rsid w:val="00DD23BE"/>
    <w:rsid w:val="00DE2FAB"/>
    <w:rsid w:val="00E02A92"/>
    <w:rsid w:val="00E036FD"/>
    <w:rsid w:val="00E153B8"/>
    <w:rsid w:val="00E32402"/>
    <w:rsid w:val="00E35AFF"/>
    <w:rsid w:val="00E44A51"/>
    <w:rsid w:val="00E45786"/>
    <w:rsid w:val="00E45A2A"/>
    <w:rsid w:val="00E46A56"/>
    <w:rsid w:val="00E50931"/>
    <w:rsid w:val="00E7564C"/>
    <w:rsid w:val="00E8709E"/>
    <w:rsid w:val="00E958A1"/>
    <w:rsid w:val="00E95AD3"/>
    <w:rsid w:val="00EA6254"/>
    <w:rsid w:val="00ED70E9"/>
    <w:rsid w:val="00EE0E67"/>
    <w:rsid w:val="00EE6E73"/>
    <w:rsid w:val="00EE7897"/>
    <w:rsid w:val="00EF1390"/>
    <w:rsid w:val="00EF2326"/>
    <w:rsid w:val="00F01B7C"/>
    <w:rsid w:val="00F0743D"/>
    <w:rsid w:val="00F129BE"/>
    <w:rsid w:val="00F16235"/>
    <w:rsid w:val="00F35E34"/>
    <w:rsid w:val="00F42E2E"/>
    <w:rsid w:val="00F43E22"/>
    <w:rsid w:val="00F44096"/>
    <w:rsid w:val="00F44D20"/>
    <w:rsid w:val="00F469F2"/>
    <w:rsid w:val="00F63540"/>
    <w:rsid w:val="00F76E74"/>
    <w:rsid w:val="00F87E90"/>
    <w:rsid w:val="00F9001A"/>
    <w:rsid w:val="00F948AC"/>
    <w:rsid w:val="00FA1572"/>
    <w:rsid w:val="00FA3B01"/>
    <w:rsid w:val="00FA7E9D"/>
    <w:rsid w:val="00FB0F89"/>
    <w:rsid w:val="00FB197A"/>
    <w:rsid w:val="00FD3569"/>
    <w:rsid w:val="00FD59F5"/>
    <w:rsid w:val="00FF2FF0"/>
    <w:rsid w:val="3F37894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rPr>
      <w:rFonts w:eastAsia="微软雅黑"/>
      <w:kern w:val="0"/>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customStyle="1" w:styleId="10">
    <w:name w:val="Default"/>
    <w:uiPriority w:val="0"/>
    <w:pPr>
      <w:widowControl w:val="0"/>
      <w:autoSpaceDE w:val="0"/>
      <w:autoSpaceDN w:val="0"/>
      <w:adjustRightInd w:val="0"/>
    </w:pPr>
    <w:rPr>
      <w:rFonts w:ascii="黑体" w:hAnsi="黑体" w:cs="黑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264</Words>
  <Characters>1511</Characters>
  <Lines>12</Lines>
  <Paragraphs>3</Paragraphs>
  <TotalTime>249</TotalTime>
  <ScaleCrop>false</ScaleCrop>
  <LinksUpToDate>false</LinksUpToDate>
  <CharactersWithSpaces>1772</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2014-11-04T21:25:00Z</dcterms:created>
  <dc:creator>刘新阳</dc:creator>
  <cp:lastModifiedBy>范</cp:lastModifiedBy>
  <dcterms:modified xsi:type="dcterms:W3CDTF">2024-10-29T18:52:12Z</dcterms:modified>
  <cp:revision>517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38605F1D599630905CBE2067160DAA55_42</vt:lpwstr>
  </property>
</Properties>
</file>